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5387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AI DIRIGENTI SCOLASTICI </w:t>
      </w:r>
    </w:p>
    <w:p>
      <w:pPr>
        <w:spacing w:before="0" w:after="0" w:line="276"/>
        <w:ind w:right="0" w:left="0" w:firstLine="5387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Istituzioni Scolastiche delle Province di </w:t>
      </w:r>
    </w:p>
    <w:p>
      <w:pPr>
        <w:spacing w:before="0" w:after="0" w:line="276"/>
        <w:ind w:right="0" w:left="0" w:firstLine="5387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Catanzaro, Cosenza, Crotone, </w:t>
      </w:r>
    </w:p>
    <w:p>
      <w:pPr>
        <w:spacing w:before="0" w:after="0" w:line="276"/>
        <w:ind w:right="0" w:left="0" w:firstLine="5387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Reggio Calabria, Vibo Valentia </w:t>
      </w:r>
    </w:p>
    <w:p>
      <w:pPr>
        <w:spacing w:before="0" w:after="0" w:line="276"/>
        <w:ind w:right="0" w:left="0" w:firstLine="5387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4"/>
          <w:shd w:fill="auto" w:val="clear"/>
        </w:rPr>
        <w:t xml:space="preserve">Sito web e Albo Sindacale</w:t>
      </w:r>
    </w:p>
    <w:p>
      <w:pPr>
        <w:spacing w:before="0" w:after="160" w:line="259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6"/>
          <w:shd w:fill="auto" w:val="clear"/>
        </w:rPr>
        <w:t xml:space="preserve">OGGETTO: ASSEMBLEA SINDACALE REGIONALE in orario di servizio</w:t>
      </w:r>
    </w:p>
    <w:p>
      <w:pPr>
        <w:spacing w:before="280" w:after="200" w:line="276"/>
        <w:ind w:right="-1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La Federazione Gilda - UNAMS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della CALABRIA –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.ATA.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comunica alla SS.VV.- ai sensi e per gli effetti del C.C.N.L. 20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16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/20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18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l’indizione di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un’assemblea sindacale online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per il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PERSONALE ATA dell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 scuol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per il giorno </w:t>
      </w:r>
    </w:p>
    <w:p>
      <w:pPr>
        <w:spacing w:before="280" w:after="200" w:line="276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4 Giugno 2021,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 dalle ore 10.30 alle ore 13.30 (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TRE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ORE)</w:t>
      </w:r>
      <w:r>
        <w:rPr>
          <w:rFonts w:ascii="Tahoma" w:hAnsi="Tahoma" w:cs="Tahoma" w:eastAsia="Tahoma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280" w:after="200" w:line="276"/>
        <w:ind w:right="0" w:left="0" w:firstLine="284"/>
        <w:jc w:val="both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6"/>
          <w:shd w:fill="auto" w:val="clear"/>
        </w:rPr>
        <w:t xml:space="preserve">Saranno discussi i seguenti punti all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’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6"/>
          <w:shd w:fill="auto" w:val="clear"/>
        </w:rPr>
        <w:t xml:space="preserve">O.D.G.:</w:t>
      </w:r>
    </w:p>
    <w:p>
      <w:pPr>
        <w:numPr>
          <w:ilvl w:val="0"/>
          <w:numId w:val="6"/>
        </w:numPr>
        <w:spacing w:before="0" w:after="0" w:line="240"/>
        <w:ind w:right="0" w:left="644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RINNOVO CCNL- 2019/2021</w:t>
      </w:r>
    </w:p>
    <w:p>
      <w:pPr>
        <w:numPr>
          <w:ilvl w:val="0"/>
          <w:numId w:val="6"/>
        </w:numPr>
        <w:spacing w:before="0" w:after="0" w:line="240"/>
        <w:ind w:right="0" w:left="644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RICLASSIFICAZIONE PROFESSIONALE PERSONALE ATA</w:t>
      </w:r>
    </w:p>
    <w:p>
      <w:pPr>
        <w:numPr>
          <w:ilvl w:val="0"/>
          <w:numId w:val="6"/>
        </w:numPr>
        <w:spacing w:before="0" w:after="0" w:line="240"/>
        <w:ind w:right="0" w:left="644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ORGANICI ATA </w:t>
      </w:r>
    </w:p>
    <w:p>
      <w:pPr>
        <w:numPr>
          <w:ilvl w:val="0"/>
          <w:numId w:val="6"/>
        </w:numPr>
        <w:spacing w:before="0" w:after="0" w:line="240"/>
        <w:ind w:right="0" w:left="644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PASSAGGI VERTICALI PERSONALE ATA</w:t>
      </w:r>
    </w:p>
    <w:p>
      <w:pPr>
        <w:numPr>
          <w:ilvl w:val="0"/>
          <w:numId w:val="6"/>
        </w:numPr>
        <w:spacing w:before="0" w:after="0" w:line="240"/>
        <w:ind w:right="0" w:left="644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PIANO ESTATE</w:t>
      </w:r>
    </w:p>
    <w:p>
      <w:pPr>
        <w:numPr>
          <w:ilvl w:val="0"/>
          <w:numId w:val="6"/>
        </w:numPr>
        <w:spacing w:before="0" w:after="0" w:line="240"/>
        <w:ind w:right="0" w:left="644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VARIE ED EVENTUALI.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L’assemblea sarà tenuta in modalità online, in diretta streaming sul canale 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4"/>
          <w:shd w:fill="auto" w:val="clear"/>
        </w:rPr>
        <w:t xml:space="preserve">YouTube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76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al seguente links: </w:t>
      </w:r>
      <w:hyperlink xmlns:r="http://schemas.openxmlformats.org/officeDocument/2006/relationships" r:id="docRId0">
        <w:r>
          <w:rPr>
            <w:rFonts w:ascii="Tahoma" w:hAnsi="Tahoma" w:cs="Tahoma" w:eastAsia="Tahom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https://youtu.be/GCvfMUvCQNw</w:t>
        </w:r>
      </w:hyperlink>
    </w:p>
    <w:p>
      <w:pPr>
        <w:spacing w:before="0" w:after="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All’assemblea saranno presenti in collegamento 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  <w:t xml:space="preserve">dirigenti nazionali, regionali e provinciali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con in quali i partecipanti potranno interagire via chat.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Si prega la SS.VV. di dare ampia e corretta diffusione ai sensi della normativa vigente de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presente indizione di assemblea regionale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pubblicando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la con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opportuna circolare per l’adesione alla stessa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come previsto dall’art. 23 del vigente CCNL.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360"/>
        <w:ind w:right="0" w:left="0" w:firstLine="284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284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Cordiali saluti</w:t>
      </w:r>
    </w:p>
    <w:p>
      <w:pPr>
        <w:spacing w:before="0" w:after="0" w:line="360"/>
        <w:ind w:right="0" w:left="0" w:firstLine="284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690"/>
        <w:gridCol w:w="5264"/>
      </w:tblGrid>
      <w:tr>
        <w:trPr>
          <w:trHeight w:val="442" w:hRule="auto"/>
          <w:jc w:val="left"/>
        </w:trPr>
        <w:tc>
          <w:tcPr>
            <w:tcW w:w="5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Reggio Calabria, 25 maggio 2021</w:t>
            </w:r>
          </w:p>
        </w:tc>
        <w:tc>
          <w:tcPr>
            <w:tcW w:w="52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48" w:hRule="auto"/>
          <w:jc w:val="left"/>
        </w:trPr>
        <w:tc>
          <w:tcPr>
            <w:tcW w:w="5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Michele Mileto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Fed. Gilda Unams - SI.N.ATA.S.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Segretario Provinciale REGGIO CALABRIA</w:t>
            </w:r>
          </w:p>
        </w:tc>
        <w:tc>
          <w:tcPr>
            <w:tcW w:w="52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Il Coordinatore Regionale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Fed. Gilda Unams Calabria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Prof. Antonino Tindiglia</w:t>
            </w:r>
          </w:p>
        </w:tc>
      </w:tr>
    </w:tbl>
    <w:p>
      <w:pPr>
        <w:spacing w:before="0" w:after="0" w:line="360"/>
        <w:ind w:right="0" w:left="0" w:firstLine="284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youtu.be/GCvfMUvCQNw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